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D1" w:rsidRPr="00535E81" w:rsidRDefault="004F6DD1" w:rsidP="004F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Раздел. 5 </w:t>
      </w:r>
      <w:r w:rsidR="00DC3E9C" w:rsidRPr="00535E81">
        <w:rPr>
          <w:b/>
          <w:sz w:val="28"/>
          <w:szCs w:val="28"/>
        </w:rPr>
        <w:t>Планируемые достижения в развитии системы об</w:t>
      </w:r>
      <w:r w:rsidR="00DC3E9C">
        <w:rPr>
          <w:b/>
          <w:sz w:val="28"/>
          <w:szCs w:val="28"/>
        </w:rPr>
        <w:t xml:space="preserve">щего образования </w:t>
      </w:r>
      <w:r>
        <w:rPr>
          <w:b/>
          <w:sz w:val="28"/>
          <w:szCs w:val="28"/>
        </w:rPr>
        <w:t>в Бисертском городском округе до 2020 года</w:t>
      </w:r>
    </w:p>
    <w:p w:rsidR="004F6DD1" w:rsidRDefault="004F6DD1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В качестве одного из приоритетных направлен</w:t>
      </w:r>
      <w:r w:rsidR="003F30EE">
        <w:rPr>
          <w:sz w:val="28"/>
          <w:szCs w:val="28"/>
        </w:rPr>
        <w:t>ий развития Бисертского городского округа</w:t>
      </w:r>
      <w:r w:rsidRPr="00535E81">
        <w:rPr>
          <w:sz w:val="28"/>
          <w:szCs w:val="28"/>
        </w:rPr>
        <w:t xml:space="preserve"> определено развитие человеческого потенциала, которое обусл</w:t>
      </w:r>
      <w:r>
        <w:rPr>
          <w:sz w:val="28"/>
          <w:szCs w:val="28"/>
        </w:rPr>
        <w:t xml:space="preserve">овлено </w:t>
      </w:r>
      <w:r w:rsidRPr="00535E81">
        <w:rPr>
          <w:sz w:val="28"/>
          <w:szCs w:val="28"/>
        </w:rPr>
        <w:t>состоянием системы образования.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 с</w:t>
      </w:r>
      <w:r w:rsidRPr="00535E81">
        <w:rPr>
          <w:sz w:val="28"/>
          <w:szCs w:val="28"/>
        </w:rPr>
        <w:t>истема о</w:t>
      </w:r>
      <w:r>
        <w:rPr>
          <w:sz w:val="28"/>
          <w:szCs w:val="28"/>
        </w:rPr>
        <w:t xml:space="preserve">бразования Бисертского городского округа </w:t>
      </w:r>
      <w:r w:rsidRPr="00535E81">
        <w:rPr>
          <w:sz w:val="28"/>
          <w:szCs w:val="28"/>
        </w:rPr>
        <w:t>ориентир</w:t>
      </w:r>
      <w:r>
        <w:rPr>
          <w:sz w:val="28"/>
          <w:szCs w:val="28"/>
        </w:rPr>
        <w:t>уется</w:t>
      </w:r>
      <w:r w:rsidRPr="00535E81">
        <w:rPr>
          <w:sz w:val="28"/>
          <w:szCs w:val="28"/>
        </w:rPr>
        <w:t xml:space="preserve"> на обеспечение возможност</w:t>
      </w:r>
      <w:r>
        <w:rPr>
          <w:sz w:val="28"/>
          <w:szCs w:val="28"/>
        </w:rPr>
        <w:t>ей</w:t>
      </w:r>
      <w:r w:rsidRPr="00535E81">
        <w:rPr>
          <w:sz w:val="28"/>
          <w:szCs w:val="28"/>
        </w:rPr>
        <w:t xml:space="preserve"> получения образования, отвечающего требованиям современной инновационной экономики, формирование гармоничной, высоконравственной социально адаптированной, конкурентоспособной, мобильной личности, создание условий для ее самореализации.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Стратегической ц</w:t>
      </w:r>
      <w:r w:rsidRPr="00535E81">
        <w:rPr>
          <w:sz w:val="28"/>
          <w:szCs w:val="28"/>
        </w:rPr>
        <w:t xml:space="preserve">елью модернизации </w:t>
      </w:r>
      <w:r>
        <w:rPr>
          <w:sz w:val="28"/>
          <w:szCs w:val="28"/>
        </w:rPr>
        <w:t xml:space="preserve">муниципальной </w:t>
      </w:r>
      <w:r w:rsidRPr="00535E81">
        <w:rPr>
          <w:sz w:val="28"/>
          <w:szCs w:val="28"/>
        </w:rPr>
        <w:t>системы образования является обеспечение доступности обеспечения современных качественных образовательных услуг для</w:t>
      </w:r>
      <w:r>
        <w:rPr>
          <w:sz w:val="28"/>
          <w:szCs w:val="28"/>
        </w:rPr>
        <w:t xml:space="preserve"> населения Бисертского городского округа 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Основными задачами для достижения указанной цели являются: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модернизация </w:t>
      </w:r>
      <w:r>
        <w:rPr>
          <w:sz w:val="28"/>
          <w:szCs w:val="28"/>
        </w:rPr>
        <w:t xml:space="preserve">системы </w:t>
      </w:r>
      <w:r w:rsidRPr="00535E81">
        <w:rPr>
          <w:sz w:val="28"/>
          <w:szCs w:val="28"/>
        </w:rPr>
        <w:t>общего образования;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создание в общеобразовательных учреждениях условий для успешной социализации детей, находящихся в сложной жизненной ситуации;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развитие системы дополнительного образования детей;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обновление системы </w:t>
      </w:r>
      <w:r>
        <w:rPr>
          <w:sz w:val="28"/>
          <w:szCs w:val="28"/>
        </w:rPr>
        <w:t xml:space="preserve">подготовки </w:t>
      </w:r>
      <w:r w:rsidRPr="00535E81">
        <w:rPr>
          <w:sz w:val="28"/>
          <w:szCs w:val="28"/>
        </w:rPr>
        <w:t>педагогических кадров, повышение престижа учительской профессии.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Мероприятия, направленные на решение поставленных задач: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внедрение и реализация </w:t>
      </w:r>
      <w:r>
        <w:rPr>
          <w:sz w:val="28"/>
          <w:szCs w:val="28"/>
        </w:rPr>
        <w:t xml:space="preserve">ФГОС </w:t>
      </w:r>
      <w:r w:rsidRPr="00535E81">
        <w:rPr>
          <w:sz w:val="28"/>
          <w:szCs w:val="28"/>
        </w:rPr>
        <w:t>нового поколения;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55322">
        <w:rPr>
          <w:sz w:val="28"/>
          <w:szCs w:val="28"/>
        </w:rPr>
        <w:t> </w:t>
      </w:r>
      <w:r>
        <w:rPr>
          <w:sz w:val="28"/>
          <w:szCs w:val="28"/>
        </w:rPr>
        <w:t xml:space="preserve">разработка </w:t>
      </w:r>
      <w:r w:rsidRPr="00535E81">
        <w:rPr>
          <w:sz w:val="28"/>
          <w:szCs w:val="28"/>
        </w:rPr>
        <w:t>проектов перспективного развития каждого общеобразовательного учреждения, разработка механизмов реализации данных проектов;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создание условий </w:t>
      </w:r>
      <w:r>
        <w:rPr>
          <w:sz w:val="28"/>
          <w:szCs w:val="28"/>
        </w:rPr>
        <w:t xml:space="preserve">для </w:t>
      </w:r>
      <w:r w:rsidRPr="00535E81">
        <w:rPr>
          <w:sz w:val="28"/>
          <w:szCs w:val="28"/>
        </w:rPr>
        <w:t>получения качественного образования детьми во всех видах и типах образовательных учреждений;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организация системы</w:t>
      </w:r>
      <w:r>
        <w:rPr>
          <w:sz w:val="28"/>
          <w:szCs w:val="28"/>
        </w:rPr>
        <w:t xml:space="preserve"> выявления </w:t>
      </w:r>
      <w:r w:rsidRPr="00535E81">
        <w:rPr>
          <w:sz w:val="28"/>
          <w:szCs w:val="28"/>
        </w:rPr>
        <w:t xml:space="preserve"> и поддержки талантливых детей;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обеспечение условий для занятия детей творчеством, в том числе технической направленности, в системе дополнительного образования;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t>6)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реализация программ реконструкции и ремонта существующих зданий, сооружений образовательных учреждений и строительства новых образовательных учреждений;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методическое обеспечение и организ</w:t>
      </w:r>
      <w:r>
        <w:rPr>
          <w:sz w:val="28"/>
          <w:szCs w:val="28"/>
        </w:rPr>
        <w:t>ация подготовки, переподготовки и</w:t>
      </w:r>
      <w:r w:rsidRPr="00535E81">
        <w:rPr>
          <w:sz w:val="28"/>
          <w:szCs w:val="28"/>
        </w:rPr>
        <w:t xml:space="preserve"> повышения квалификации педагогических работников образовательных учреждений, создание системы непрерывного профессионального образования, обеспечивающего удовлетворение потребностей системы общего образования в квалифицированных кадрах;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создание системы мониторинга и оценки качества образования;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обеспечение информационной открытости, общественного участия в управлении качеством образования.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35E81">
        <w:rPr>
          <w:sz w:val="28"/>
          <w:szCs w:val="28"/>
        </w:rPr>
        <w:lastRenderedPageBreak/>
        <w:t>В результате реализации мероприятий будет обеспечено:</w:t>
      </w:r>
      <w:bookmarkStart w:id="0" w:name="sub_88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создание комплекса информационно-методического обеспечения введения </w:t>
      </w:r>
      <w:r>
        <w:rPr>
          <w:sz w:val="28"/>
          <w:szCs w:val="28"/>
        </w:rPr>
        <w:t xml:space="preserve">ФГОС </w:t>
      </w:r>
      <w:r w:rsidRPr="00535E81">
        <w:rPr>
          <w:sz w:val="28"/>
          <w:szCs w:val="28"/>
        </w:rPr>
        <w:t>нового поколения на</w:t>
      </w:r>
      <w:r>
        <w:rPr>
          <w:sz w:val="28"/>
          <w:szCs w:val="28"/>
        </w:rPr>
        <w:t xml:space="preserve"> территории Бисертского городского округа</w:t>
      </w:r>
      <w:r w:rsidRPr="00535E81">
        <w:rPr>
          <w:sz w:val="28"/>
          <w:szCs w:val="28"/>
        </w:rPr>
        <w:t>;</w:t>
      </w:r>
      <w:bookmarkStart w:id="1" w:name="sub_89"/>
      <w:bookmarkEnd w:id="0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привлечение и закрепление молодых специалистов в </w:t>
      </w:r>
      <w:r>
        <w:rPr>
          <w:sz w:val="28"/>
          <w:szCs w:val="28"/>
        </w:rPr>
        <w:t xml:space="preserve">муниципальной </w:t>
      </w:r>
      <w:r w:rsidRPr="00535E81">
        <w:rPr>
          <w:sz w:val="28"/>
          <w:szCs w:val="28"/>
        </w:rPr>
        <w:t>системе образования;</w:t>
      </w:r>
      <w:bookmarkStart w:id="2" w:name="sub_90"/>
      <w:bookmarkEnd w:id="1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развитие </w:t>
      </w:r>
      <w:proofErr w:type="gramStart"/>
      <w:r w:rsidRPr="00535E81">
        <w:rPr>
          <w:sz w:val="28"/>
          <w:szCs w:val="28"/>
        </w:rPr>
        <w:t>профессиональной</w:t>
      </w:r>
      <w:proofErr w:type="gramEnd"/>
      <w:r w:rsidRPr="00535E81">
        <w:rPr>
          <w:sz w:val="28"/>
          <w:szCs w:val="28"/>
        </w:rPr>
        <w:t xml:space="preserve"> </w:t>
      </w:r>
      <w:r>
        <w:rPr>
          <w:sz w:val="28"/>
          <w:szCs w:val="28"/>
        </w:rPr>
        <w:t>компетенций,</w:t>
      </w:r>
      <w:r w:rsidRPr="00535E8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обеспечивающих</w:t>
      </w:r>
      <w:r w:rsidRPr="00535E81">
        <w:rPr>
          <w:sz w:val="28"/>
          <w:szCs w:val="28"/>
        </w:rPr>
        <w:t xml:space="preserve"> деятельность педагогов в условиях </w:t>
      </w:r>
      <w:r>
        <w:rPr>
          <w:sz w:val="28"/>
          <w:szCs w:val="28"/>
        </w:rPr>
        <w:t>ФГОС</w:t>
      </w:r>
      <w:r w:rsidRPr="00535E81">
        <w:rPr>
          <w:sz w:val="28"/>
          <w:szCs w:val="28"/>
        </w:rPr>
        <w:t>;</w:t>
      </w:r>
      <w:bookmarkStart w:id="3" w:name="sub_91"/>
      <w:bookmarkEnd w:id="2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создание системы мониторинга и оценки качества образования, позволяющей оперативно получать достоверную информацию </w:t>
      </w:r>
      <w:proofErr w:type="gramStart"/>
      <w:r w:rsidRPr="00535E81">
        <w:rPr>
          <w:sz w:val="28"/>
          <w:szCs w:val="28"/>
        </w:rPr>
        <w:t>о</w:t>
      </w:r>
      <w:proofErr w:type="gramEnd"/>
      <w:r w:rsidRPr="00535E81">
        <w:rPr>
          <w:sz w:val="28"/>
          <w:szCs w:val="28"/>
        </w:rPr>
        <w:t xml:space="preserve"> всех </w:t>
      </w:r>
      <w:r>
        <w:rPr>
          <w:sz w:val="28"/>
          <w:szCs w:val="28"/>
        </w:rPr>
        <w:t xml:space="preserve">типах и видах </w:t>
      </w:r>
      <w:r w:rsidRPr="00535E81">
        <w:rPr>
          <w:sz w:val="28"/>
          <w:szCs w:val="28"/>
        </w:rPr>
        <w:t>образовательных учреждени</w:t>
      </w:r>
      <w:r>
        <w:rPr>
          <w:sz w:val="28"/>
          <w:szCs w:val="28"/>
        </w:rPr>
        <w:t>й Бисертского городского округа</w:t>
      </w:r>
      <w:r w:rsidRPr="00535E81">
        <w:rPr>
          <w:sz w:val="28"/>
          <w:szCs w:val="28"/>
        </w:rPr>
        <w:t>;</w:t>
      </w:r>
      <w:bookmarkStart w:id="4" w:name="sub_92"/>
      <w:bookmarkEnd w:id="3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повышение доступности образовательных услуг на</w:t>
      </w:r>
      <w:r>
        <w:rPr>
          <w:sz w:val="28"/>
          <w:szCs w:val="28"/>
        </w:rPr>
        <w:t xml:space="preserve"> территории Бисертского городского округа</w:t>
      </w:r>
      <w:r w:rsidRPr="00535E81">
        <w:rPr>
          <w:sz w:val="28"/>
          <w:szCs w:val="28"/>
        </w:rPr>
        <w:t xml:space="preserve"> за счет использования технологий дистанционного обучения, в том числе в сельских образовательных учреждениях;</w:t>
      </w:r>
      <w:bookmarkStart w:id="5" w:name="sub_93"/>
      <w:bookmarkEnd w:id="4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переход на предоставление части государственных услуг в области образования в электронном виде;</w:t>
      </w:r>
      <w:bookmarkStart w:id="6" w:name="sub_94"/>
      <w:bookmarkEnd w:id="5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расширение общественного участия в управлении образованием за счет повышения открытости и прозрачности системы образования;</w:t>
      </w:r>
      <w:bookmarkStart w:id="7" w:name="sub_95"/>
      <w:bookmarkEnd w:id="6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8" w:name="sub_96"/>
      <w:bookmarkEnd w:id="7"/>
      <w:r>
        <w:rPr>
          <w:sz w:val="28"/>
          <w:szCs w:val="28"/>
        </w:rPr>
        <w:t>8)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содействие развитию индустрии образования, обеспечивающей поставку оборудования, учебно-методического и аппаратно-программного обеспечения, проектирование и строительство новых школ, соблюдение требований безопасности, внедрение </w:t>
      </w:r>
      <w:proofErr w:type="spellStart"/>
      <w:r w:rsidRPr="00535E81">
        <w:rPr>
          <w:sz w:val="28"/>
          <w:szCs w:val="28"/>
        </w:rPr>
        <w:t>энергоэффективных</w:t>
      </w:r>
      <w:proofErr w:type="spellEnd"/>
      <w:r w:rsidRPr="00535E81">
        <w:rPr>
          <w:sz w:val="28"/>
          <w:szCs w:val="28"/>
        </w:rPr>
        <w:t xml:space="preserve"> технологий эксплуатации и обслуживания школьных зданий и оборудования;</w:t>
      </w:r>
      <w:bookmarkStart w:id="9" w:name="sub_97"/>
      <w:bookmarkEnd w:id="8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наличие многофункциональной образовательной среды для проявления и развития индивидуальных способностей талантливых детей и молодежи на областном</w:t>
      </w:r>
      <w:r>
        <w:rPr>
          <w:sz w:val="28"/>
          <w:szCs w:val="28"/>
        </w:rPr>
        <w:t>,</w:t>
      </w:r>
      <w:r w:rsidRPr="00535E81">
        <w:rPr>
          <w:sz w:val="28"/>
          <w:szCs w:val="28"/>
        </w:rPr>
        <w:t xml:space="preserve"> муниципальном</w:t>
      </w:r>
      <w:r>
        <w:rPr>
          <w:sz w:val="28"/>
          <w:szCs w:val="28"/>
        </w:rPr>
        <w:t xml:space="preserve"> и школьном </w:t>
      </w:r>
      <w:r w:rsidRPr="00535E81">
        <w:rPr>
          <w:sz w:val="28"/>
          <w:szCs w:val="28"/>
        </w:rPr>
        <w:t>уровн</w:t>
      </w:r>
      <w:r>
        <w:rPr>
          <w:sz w:val="28"/>
          <w:szCs w:val="28"/>
        </w:rPr>
        <w:t>ях</w:t>
      </w:r>
      <w:r w:rsidRPr="00535E81">
        <w:rPr>
          <w:sz w:val="28"/>
          <w:szCs w:val="28"/>
        </w:rPr>
        <w:t>;</w:t>
      </w:r>
      <w:bookmarkStart w:id="10" w:name="sub_98"/>
      <w:bookmarkEnd w:id="9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35E81">
        <w:rPr>
          <w:sz w:val="28"/>
          <w:szCs w:val="28"/>
        </w:rPr>
        <w:t>)</w:t>
      </w:r>
      <w:bookmarkStart w:id="11" w:name="sub_102"/>
      <w:bookmarkEnd w:id="10"/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наличие образовательной среды, способствующей профессиональному становлению личности в процессе освоения образовательных программ различн</w:t>
      </w:r>
      <w:r>
        <w:rPr>
          <w:sz w:val="28"/>
          <w:szCs w:val="28"/>
        </w:rPr>
        <w:t>ых уровня</w:t>
      </w:r>
      <w:r w:rsidRPr="00535E81">
        <w:rPr>
          <w:sz w:val="28"/>
          <w:szCs w:val="28"/>
        </w:rPr>
        <w:t xml:space="preserve"> и направленности;</w:t>
      </w:r>
      <w:bookmarkStart w:id="12" w:name="sub_103"/>
      <w:bookmarkEnd w:id="11"/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наличие организационно-правового обеспечения государственно-общественных механизмов управления качеством общего образования;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 xml:space="preserve">создание достаточных условий, обеспечивающих </w:t>
      </w:r>
      <w:proofErr w:type="spellStart"/>
      <w:r w:rsidRPr="00535E81">
        <w:rPr>
          <w:sz w:val="28"/>
          <w:szCs w:val="28"/>
        </w:rPr>
        <w:t>здоровьесбережение</w:t>
      </w:r>
      <w:proofErr w:type="spellEnd"/>
      <w:r w:rsidRPr="00535E81">
        <w:rPr>
          <w:sz w:val="28"/>
          <w:szCs w:val="28"/>
        </w:rPr>
        <w:t xml:space="preserve"> детей в образовательных учреждениях;</w:t>
      </w:r>
    </w:p>
    <w:p w:rsidR="00DC3E9C" w:rsidRDefault="00DC3E9C" w:rsidP="00DC3E9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Pr="00455322">
        <w:rPr>
          <w:sz w:val="28"/>
          <w:szCs w:val="28"/>
        </w:rPr>
        <w:t> </w:t>
      </w:r>
      <w:r w:rsidRPr="00535E81">
        <w:rPr>
          <w:sz w:val="28"/>
          <w:szCs w:val="28"/>
        </w:rPr>
        <w:t>снижение количества зданий, сооружений и помещений государственных и муниципальных образовательных учреждений, требующих капитального ремонта;</w:t>
      </w:r>
    </w:p>
    <w:bookmarkEnd w:id="12"/>
    <w:p w:rsidR="00DC3E9C" w:rsidRPr="004F469A" w:rsidRDefault="00DC3E9C" w:rsidP="00DC3E9C">
      <w:pPr>
        <w:ind w:firstLine="708"/>
        <w:jc w:val="center"/>
        <w:rPr>
          <w:sz w:val="28"/>
          <w:szCs w:val="28"/>
        </w:rPr>
      </w:pPr>
      <w:r w:rsidRPr="004F469A">
        <w:rPr>
          <w:sz w:val="28"/>
          <w:szCs w:val="28"/>
        </w:rPr>
        <w:t xml:space="preserve">Индикаторы результатов развития системы образования </w:t>
      </w:r>
    </w:p>
    <w:p w:rsidR="00DC3E9C" w:rsidRPr="004F469A" w:rsidRDefault="00DC3E9C" w:rsidP="00DC3E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Бисертского городского округа</w:t>
      </w:r>
      <w:r w:rsidRPr="004F469A">
        <w:rPr>
          <w:sz w:val="28"/>
          <w:szCs w:val="28"/>
        </w:rPr>
        <w:t xml:space="preserve"> на период до 2020 года</w:t>
      </w:r>
    </w:p>
    <w:p w:rsidR="00DC3E9C" w:rsidRPr="00090F1A" w:rsidRDefault="00DC3E9C" w:rsidP="00DC3E9C">
      <w:pPr>
        <w:ind w:firstLine="708"/>
        <w:jc w:val="both"/>
        <w:rPr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8"/>
        <w:gridCol w:w="4812"/>
        <w:gridCol w:w="1800"/>
        <w:gridCol w:w="1350"/>
        <w:gridCol w:w="1350"/>
      </w:tblGrid>
      <w:tr w:rsidR="00DC3E9C" w:rsidRPr="00535E81" w:rsidTr="00E5602B">
        <w:tc>
          <w:tcPr>
            <w:tcW w:w="5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№ п/</w:t>
            </w:r>
            <w:proofErr w:type="spellStart"/>
            <w:r w:rsidRPr="00090F1A">
              <w:t>п</w:t>
            </w:r>
            <w:proofErr w:type="spellEnd"/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Наименование целевого показателя (индикатора)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Единица измерения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Значение</w:t>
            </w:r>
          </w:p>
        </w:tc>
      </w:tr>
      <w:tr w:rsidR="00DC3E9C" w:rsidRPr="00535E81" w:rsidTr="00E5602B">
        <w:tc>
          <w:tcPr>
            <w:tcW w:w="5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2015 год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090F1A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090F1A">
              <w:t>2020 год</w:t>
            </w:r>
          </w:p>
        </w:tc>
      </w:tr>
    </w:tbl>
    <w:p w:rsidR="00DC3E9C" w:rsidRPr="00C47358" w:rsidRDefault="00DC3E9C" w:rsidP="00DC3E9C">
      <w:pPr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8"/>
        <w:gridCol w:w="4812"/>
        <w:gridCol w:w="1800"/>
        <w:gridCol w:w="1350"/>
        <w:gridCol w:w="1350"/>
      </w:tblGrid>
      <w:tr w:rsidR="00DC3E9C" w:rsidRPr="00535E81" w:rsidTr="00E5602B">
        <w:trPr>
          <w:tblHeader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 xml:space="preserve">Доля школьников, которым предоставлена возможность обучаться в соответствии с современными требованиями, от общей </w:t>
            </w:r>
            <w:r w:rsidRPr="00535E81">
              <w:lastRenderedPageBreak/>
              <w:t>численности школьников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lastRenderedPageBreak/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lastRenderedPageBreak/>
              <w:t>2.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педагогических и руководящих работников, прошедших курсы повышения квалификации (ФГОС)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100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3.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образовательных учреждений, реализующих специальные программы по работе с талантливыми детьми и молодежью (элективные курсы, программы дополнительного образования, факультативные занятия)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535E81">
              <w:t>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4.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образовательных учреждений, имеющих широкополосный доступ к сети Интернет со скоростью доступа не ниже 2 Мбит/</w:t>
            </w:r>
            <w:proofErr w:type="gramStart"/>
            <w:r w:rsidRPr="00535E81">
              <w:t>с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100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5.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обучающихся, участвующих в мероприятиях для талантливых детей и молодежи</w:t>
            </w:r>
            <w:r>
              <w:t>,</w:t>
            </w:r>
            <w:r w:rsidRPr="00535E81">
              <w:t xml:space="preserve"> от общего числа учащихся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535E81">
              <w:t>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6.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образовательных учреждений,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образовательного учреждения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535E81"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535E81">
              <w:t>0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7.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both"/>
            </w:pPr>
            <w:r w:rsidRPr="00535E81">
              <w:t>Увеличение доли  образовательных учреждений, реализующи</w:t>
            </w:r>
            <w:r>
              <w:t>х</w:t>
            </w:r>
            <w:r w:rsidRPr="00535E81">
              <w:t xml:space="preserve"> образовательные программы в дистанционной форме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</w:tr>
      <w:tr w:rsidR="00DC3E9C" w:rsidRPr="00535E81" w:rsidTr="00E5602B"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8.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150D05" w:rsidRDefault="00DC3E9C" w:rsidP="00E5602B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50D05">
              <w:rPr>
                <w:sz w:val="23"/>
                <w:szCs w:val="23"/>
              </w:rPr>
              <w:t>Уменьшение доли зданий, сооружений и помещений государственных и муниципальных образовательных учреждений, требующих капитального ремонта, приведения в соответствие с требованиями пожарной безопасности и санитарного законодательства, приведения в соответствие с требованиями санитарного и пожарного законодательства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 w:rsidRPr="00535E81">
              <w:t>процент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9C" w:rsidRPr="00535E81" w:rsidRDefault="00DC3E9C" w:rsidP="00E5602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DC3E9C" w:rsidRDefault="00DC3E9C" w:rsidP="00DC3E9C">
      <w:pPr>
        <w:jc w:val="both"/>
        <w:rPr>
          <w:sz w:val="28"/>
          <w:szCs w:val="28"/>
        </w:rPr>
      </w:pPr>
    </w:p>
    <w:p w:rsidR="00DC3E9C" w:rsidRDefault="00DC3E9C" w:rsidP="00DC3E9C">
      <w:pPr>
        <w:jc w:val="both"/>
        <w:rPr>
          <w:sz w:val="28"/>
          <w:szCs w:val="28"/>
        </w:rPr>
      </w:pPr>
    </w:p>
    <w:p w:rsidR="00DC3E9C" w:rsidRDefault="00DC3E9C" w:rsidP="00DC3E9C">
      <w:pPr>
        <w:jc w:val="both"/>
        <w:rPr>
          <w:sz w:val="28"/>
          <w:szCs w:val="28"/>
        </w:rPr>
      </w:pPr>
    </w:p>
    <w:p w:rsidR="00DC3E9C" w:rsidRDefault="00DC3E9C" w:rsidP="00DC3E9C">
      <w:pPr>
        <w:jc w:val="both"/>
        <w:rPr>
          <w:sz w:val="28"/>
          <w:szCs w:val="28"/>
        </w:rPr>
      </w:pPr>
    </w:p>
    <w:p w:rsidR="00DC3E9C" w:rsidRDefault="00DC3E9C" w:rsidP="00DC3E9C">
      <w:pPr>
        <w:jc w:val="both"/>
        <w:rPr>
          <w:sz w:val="28"/>
          <w:szCs w:val="28"/>
        </w:rPr>
      </w:pPr>
    </w:p>
    <w:sectPr w:rsidR="00DC3E9C" w:rsidSect="00C5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E9C"/>
    <w:rsid w:val="0003162A"/>
    <w:rsid w:val="003F30EE"/>
    <w:rsid w:val="00416303"/>
    <w:rsid w:val="004611A9"/>
    <w:rsid w:val="004803C1"/>
    <w:rsid w:val="004813DA"/>
    <w:rsid w:val="004F4450"/>
    <w:rsid w:val="004F6DD1"/>
    <w:rsid w:val="008F7307"/>
    <w:rsid w:val="009F54D5"/>
    <w:rsid w:val="00A85698"/>
    <w:rsid w:val="00B11233"/>
    <w:rsid w:val="00C5163B"/>
    <w:rsid w:val="00D60970"/>
    <w:rsid w:val="00DC3E9C"/>
    <w:rsid w:val="00ED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921</Words>
  <Characters>5256</Characters>
  <Application>Microsoft Office Word</Application>
  <DocSecurity>0</DocSecurity>
  <Lines>43</Lines>
  <Paragraphs>12</Paragraphs>
  <ScaleCrop>false</ScaleCrop>
  <Company>Grizli777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cp:lastPrinted>2012-03-03T08:21:00Z</cp:lastPrinted>
  <dcterms:created xsi:type="dcterms:W3CDTF">2012-03-03T07:33:00Z</dcterms:created>
  <dcterms:modified xsi:type="dcterms:W3CDTF">2012-03-11T04:39:00Z</dcterms:modified>
</cp:coreProperties>
</file>